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PREGÃO ELETRÔNICO N.° 24/2023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right="11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</w:rPr>
        <w:drawing>
          <wp:inline distB="0" distT="0" distL="114300" distR="114300">
            <wp:extent cx="5382578" cy="112395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2578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434343"/>
          <w:sz w:val="20"/>
          <w:szCs w:val="20"/>
          <w:shd w:fill="d9d2e9" w:val="clear"/>
        </w:rPr>
      </w:pPr>
      <w:r w:rsidDel="00000000" w:rsidR="00000000" w:rsidRPr="00000000">
        <w:rPr>
          <w:rFonts w:ascii="Roboto" w:cs="Roboto" w:eastAsia="Roboto" w:hAnsi="Roboto"/>
          <w:color w:val="434343"/>
          <w:sz w:val="20"/>
          <w:szCs w:val="20"/>
          <w:shd w:fill="d9d2e9" w:val="clear"/>
          <w:rtl w:val="0"/>
        </w:rPr>
        <w:t xml:space="preserve">Obs: Especificar marca e modelo ofertado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Nº 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24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23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(RAZÃO SOCIAL DA EMPRESA)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widowControl w:val="1"/>
      <w:numPr>
        <w:ilvl w:val="1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tabs>
        <w:tab w:val="right" w:leader="none" w:pos="9360"/>
      </w:tabs>
      <w:jc w:val="center"/>
      <w:rPr>
        <w:rFonts w:ascii="Roboto" w:cs="Roboto" w:eastAsia="Roboto" w:hAnsi="Roboto"/>
        <w:b w:val="1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i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33">
    <w:pPr>
      <w:tabs>
        <w:tab w:val="right" w:leader="none" w:pos="9360"/>
      </w:tabs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34">
    <w:pPr>
      <w:numPr>
        <w:ilvl w:val="0"/>
        <w:numId w:val="2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SFpCTy9W4LlT0Le0TnhI86Tow==">CgMxLjAyCGguZ2pkZ3hzOAByITFCRE9BQ1AtbEczOEtCLVFPaVV5cE5ycVJRSEVwVnZmMQ==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